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7DDDC" w14:textId="7DA31B7F" w:rsidR="00350B96" w:rsidRDefault="0089598C"/>
    <w:p w14:paraId="5763C401" w14:textId="0C37E940" w:rsidR="00AA163E" w:rsidRDefault="007D4025">
      <w:r>
        <w:rPr>
          <w:b/>
        </w:rPr>
        <w:t>Vodítko</w:t>
      </w:r>
      <w:r w:rsidR="00AA163E" w:rsidRPr="00AA163E">
        <w:rPr>
          <w:b/>
        </w:rPr>
        <w:t xml:space="preserve"> pro načasování očkování a </w:t>
      </w:r>
      <w:proofErr w:type="spellStart"/>
      <w:r w:rsidR="00AA163E" w:rsidRPr="00AA163E">
        <w:rPr>
          <w:b/>
        </w:rPr>
        <w:t>imunomodulační</w:t>
      </w:r>
      <w:proofErr w:type="spellEnd"/>
      <w:r w:rsidR="00AA163E" w:rsidRPr="00AA163E">
        <w:rPr>
          <w:b/>
        </w:rPr>
        <w:t xml:space="preserve"> terapie ve vztahu k podávání vakcín </w:t>
      </w:r>
      <w:r w:rsidR="00C924B3">
        <w:rPr>
          <w:b/>
        </w:rPr>
        <w:t>proti SARS-CoV-2</w:t>
      </w:r>
      <w:r w:rsidR="00AA163E" w:rsidRPr="00AA163E">
        <w:rPr>
          <w:b/>
        </w:rPr>
        <w:t xml:space="preserve"> u pacientů s revmatickým onemocněním</w:t>
      </w:r>
      <w:r w:rsidR="00AA163E">
        <w:rPr>
          <w:b/>
        </w:rPr>
        <w:t xml:space="preserve"> (</w:t>
      </w:r>
      <w:r w:rsidR="00C924B3">
        <w:rPr>
          <w:b/>
        </w:rPr>
        <w:t xml:space="preserve">upraveno </w:t>
      </w:r>
      <w:r w:rsidR="00AA163E">
        <w:rPr>
          <w:b/>
        </w:rPr>
        <w:t>podle předběžného návrhu ACR 2/2021)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163E" w14:paraId="4615E6D8" w14:textId="77777777" w:rsidTr="00D01C5B">
        <w:tc>
          <w:tcPr>
            <w:tcW w:w="4531" w:type="dxa"/>
          </w:tcPr>
          <w:p w14:paraId="72ADC3B7" w14:textId="77777777" w:rsidR="00AA163E" w:rsidRDefault="00AA163E" w:rsidP="00D01C5B">
            <w:proofErr w:type="spellStart"/>
            <w:r w:rsidRPr="00AA163E">
              <w:t>Hydroxychlorochin</w:t>
            </w:r>
            <w:proofErr w:type="spellEnd"/>
            <w:r w:rsidRPr="00AA163E">
              <w:t xml:space="preserve">; IVIG; glukokortikoidy, dávka ekvivalentní </w:t>
            </w:r>
            <w:proofErr w:type="spellStart"/>
            <w:r w:rsidRPr="00AA163E">
              <w:t>prednisonu</w:t>
            </w:r>
            <w:proofErr w:type="spellEnd"/>
            <w:r w:rsidRPr="00AA163E">
              <w:t xml:space="preserve"> &lt;20 mg / den</w:t>
            </w:r>
          </w:p>
        </w:tc>
        <w:tc>
          <w:tcPr>
            <w:tcW w:w="4531" w:type="dxa"/>
          </w:tcPr>
          <w:p w14:paraId="0F3A2E7B" w14:textId="672C4FF0" w:rsidR="00AA163E" w:rsidRDefault="00AA163E" w:rsidP="007D4025">
            <w:r w:rsidRPr="00AA163E">
              <w:t xml:space="preserve">Žádné úpravy </w:t>
            </w:r>
            <w:proofErr w:type="spellStart"/>
            <w:r w:rsidRPr="00AA163E">
              <w:t>imunomodulační</w:t>
            </w:r>
            <w:proofErr w:type="spellEnd"/>
            <w:r w:rsidRPr="00AA163E">
              <w:t xml:space="preserve"> terapie ani načasování očkování</w:t>
            </w:r>
            <w:r w:rsidR="007D4025">
              <w:t xml:space="preserve"> nejsou nutné</w:t>
            </w:r>
          </w:p>
        </w:tc>
      </w:tr>
      <w:tr w:rsidR="00AA163E" w14:paraId="61B2E424" w14:textId="77777777" w:rsidTr="00D01C5B">
        <w:tc>
          <w:tcPr>
            <w:tcW w:w="4531" w:type="dxa"/>
          </w:tcPr>
          <w:p w14:paraId="5145D538" w14:textId="301F9F89" w:rsidR="00AA163E" w:rsidRDefault="000103B4" w:rsidP="007D4025">
            <w:proofErr w:type="spellStart"/>
            <w:r>
              <w:t>Sulfasalazin</w:t>
            </w:r>
            <w:proofErr w:type="spellEnd"/>
            <w:r>
              <w:t xml:space="preserve">; </w:t>
            </w:r>
            <w:proofErr w:type="spellStart"/>
            <w:r>
              <w:t>leflunomid</w:t>
            </w:r>
            <w:proofErr w:type="spellEnd"/>
            <w:r>
              <w:t xml:space="preserve">; </w:t>
            </w:r>
            <w:proofErr w:type="spellStart"/>
            <w:r>
              <w:t>mykofenolát</w:t>
            </w:r>
            <w:proofErr w:type="spellEnd"/>
            <w:r>
              <w:t>; a</w:t>
            </w:r>
            <w:r w:rsidR="00AA163E" w:rsidRPr="00AA163E">
              <w:t xml:space="preserve">zathioprin; </w:t>
            </w:r>
            <w:r>
              <w:t>c</w:t>
            </w:r>
            <w:r w:rsidR="00AA163E" w:rsidRPr="00AA163E">
              <w:t xml:space="preserve">yklofosfamid (orální); </w:t>
            </w:r>
            <w:proofErr w:type="spellStart"/>
            <w:r w:rsidR="00AA163E" w:rsidRPr="00AA163E">
              <w:t>TNFi</w:t>
            </w:r>
            <w:proofErr w:type="spellEnd"/>
            <w:r w:rsidR="00AA163E" w:rsidRPr="00AA163E">
              <w:t>;</w:t>
            </w:r>
            <w:r w:rsidR="007D4025">
              <w:t xml:space="preserve"> inhibitory IL-6R, IL-1,</w:t>
            </w:r>
            <w:r>
              <w:t xml:space="preserve"> IL-17</w:t>
            </w:r>
            <w:r w:rsidR="007D4025">
              <w:t>, IL-12/23,</w:t>
            </w:r>
            <w:r>
              <w:t xml:space="preserve"> IL-23</w:t>
            </w:r>
            <w:r w:rsidR="007D4025">
              <w:t>,</w:t>
            </w:r>
            <w:r>
              <w:t xml:space="preserve"> </w:t>
            </w:r>
            <w:proofErr w:type="spellStart"/>
            <w:r>
              <w:t>b</w:t>
            </w:r>
            <w:r w:rsidR="00AA163E" w:rsidRPr="00AA163E">
              <w:t>elimumab</w:t>
            </w:r>
            <w:proofErr w:type="spellEnd"/>
            <w:r w:rsidR="00AA163E" w:rsidRPr="00AA163E">
              <w:t>; o</w:t>
            </w:r>
            <w:r>
              <w:t xml:space="preserve">rální inhibitory </w:t>
            </w:r>
            <w:proofErr w:type="spellStart"/>
            <w:r>
              <w:t>kalcineurinu</w:t>
            </w:r>
            <w:proofErr w:type="spellEnd"/>
            <w:r>
              <w:t>; g</w:t>
            </w:r>
            <w:r w:rsidR="00AA163E" w:rsidRPr="00AA163E">
              <w:t>lukokortikoidy, dávka ekvivalent</w:t>
            </w:r>
            <w:r w:rsidR="00C924B3">
              <w:t xml:space="preserve">ní </w:t>
            </w:r>
            <w:proofErr w:type="spellStart"/>
            <w:r w:rsidR="00C924B3">
              <w:t>prednisonu</w:t>
            </w:r>
            <w:proofErr w:type="spellEnd"/>
            <w:r w:rsidR="00C924B3">
              <w:t xml:space="preserve"> ≥ 20 mg / den</w:t>
            </w:r>
          </w:p>
        </w:tc>
        <w:tc>
          <w:tcPr>
            <w:tcW w:w="4531" w:type="dxa"/>
          </w:tcPr>
          <w:p w14:paraId="7F119CA2" w14:textId="29D422AE" w:rsidR="00AA163E" w:rsidRDefault="00AA163E" w:rsidP="00D01C5B">
            <w:r w:rsidRPr="00AA163E">
              <w:t xml:space="preserve">Žádné úpravy </w:t>
            </w:r>
            <w:proofErr w:type="spellStart"/>
            <w:r w:rsidRPr="00AA163E">
              <w:t>imunomodulační</w:t>
            </w:r>
            <w:proofErr w:type="spellEnd"/>
            <w:r w:rsidRPr="00AA163E">
              <w:t xml:space="preserve"> terapie ani načasování očkování</w:t>
            </w:r>
            <w:r w:rsidR="007D4025">
              <w:t xml:space="preserve"> nejsou nutné</w:t>
            </w:r>
          </w:p>
        </w:tc>
      </w:tr>
      <w:tr w:rsidR="00AA163E" w14:paraId="78C69285" w14:textId="77777777" w:rsidTr="00D01C5B">
        <w:tc>
          <w:tcPr>
            <w:tcW w:w="4531" w:type="dxa"/>
          </w:tcPr>
          <w:p w14:paraId="26E72B7F" w14:textId="221BEDB6" w:rsidR="00AA163E" w:rsidRDefault="007D4025" w:rsidP="00D01C5B">
            <w:r>
              <w:t>Metotrexá</w:t>
            </w:r>
            <w:r w:rsidRPr="00AA163E">
              <w:t>t</w:t>
            </w:r>
          </w:p>
        </w:tc>
        <w:tc>
          <w:tcPr>
            <w:tcW w:w="4531" w:type="dxa"/>
          </w:tcPr>
          <w:p w14:paraId="0D7C68A1" w14:textId="77777777" w:rsidR="00AA163E" w:rsidRDefault="00AA163E" w:rsidP="00D01C5B">
            <w:r>
              <w:t>Vynechejte</w:t>
            </w:r>
            <w:r w:rsidRPr="00AA163E">
              <w:t xml:space="preserve"> MTX 1 týden po každé dávce vakcíny u pacientů s dobře kontrolovaným onemocněním; žádné úpravy načasování očkování</w:t>
            </w:r>
          </w:p>
        </w:tc>
      </w:tr>
      <w:tr w:rsidR="00AA163E" w14:paraId="5CECC5F3" w14:textId="77777777" w:rsidTr="00D01C5B">
        <w:tc>
          <w:tcPr>
            <w:tcW w:w="4531" w:type="dxa"/>
          </w:tcPr>
          <w:p w14:paraId="74EFF4B2" w14:textId="77777777" w:rsidR="00AA163E" w:rsidRDefault="00AA163E" w:rsidP="00D01C5B">
            <w:proofErr w:type="spellStart"/>
            <w:r>
              <w:t>JAKi</w:t>
            </w:r>
            <w:proofErr w:type="spellEnd"/>
          </w:p>
        </w:tc>
        <w:tc>
          <w:tcPr>
            <w:tcW w:w="4531" w:type="dxa"/>
          </w:tcPr>
          <w:p w14:paraId="348B3E96" w14:textId="77BE71B6" w:rsidR="00AA163E" w:rsidRDefault="00AA163E" w:rsidP="007D4025">
            <w:r>
              <w:t>Vynechejte</w:t>
            </w:r>
            <w:r w:rsidRPr="00AA163E">
              <w:t xml:space="preserve"> </w:t>
            </w:r>
            <w:proofErr w:type="spellStart"/>
            <w:r>
              <w:t>JAKi</w:t>
            </w:r>
            <w:proofErr w:type="spellEnd"/>
            <w:r w:rsidRPr="00AA163E">
              <w:t xml:space="preserve"> </w:t>
            </w:r>
            <w:r w:rsidR="007D4025">
              <w:t xml:space="preserve">po dobu </w:t>
            </w:r>
            <w:r w:rsidRPr="00AA163E">
              <w:t>1 týdn</w:t>
            </w:r>
            <w:r w:rsidR="007D4025">
              <w:t>e</w:t>
            </w:r>
            <w:r w:rsidRPr="00AA163E">
              <w:t xml:space="preserve"> po každé dávce vakcíny u pacientů s dobře kontrolovaným onemocněním; žádné úpravy načasování očkování</w:t>
            </w:r>
          </w:p>
        </w:tc>
      </w:tr>
      <w:tr w:rsidR="00AA163E" w14:paraId="2059B01D" w14:textId="77777777" w:rsidTr="00D01C5B">
        <w:tc>
          <w:tcPr>
            <w:tcW w:w="4531" w:type="dxa"/>
          </w:tcPr>
          <w:p w14:paraId="0272E3BB" w14:textId="77777777" w:rsidR="00AA163E" w:rsidRDefault="00AA163E" w:rsidP="00D01C5B">
            <w:r>
              <w:t xml:space="preserve">Abatacept </w:t>
            </w:r>
            <w:proofErr w:type="spellStart"/>
            <w:proofErr w:type="gramStart"/>
            <w:r>
              <w:t>s.c</w:t>
            </w:r>
            <w:proofErr w:type="spellEnd"/>
            <w:r>
              <w:t>.</w:t>
            </w:r>
            <w:proofErr w:type="gramEnd"/>
          </w:p>
        </w:tc>
        <w:tc>
          <w:tcPr>
            <w:tcW w:w="4531" w:type="dxa"/>
          </w:tcPr>
          <w:p w14:paraId="0C97385B" w14:textId="052998DC" w:rsidR="00AA163E" w:rsidRDefault="00AA163E" w:rsidP="007D4025">
            <w:r>
              <w:t xml:space="preserve">Vynechejte </w:t>
            </w:r>
            <w:proofErr w:type="spellStart"/>
            <w:proofErr w:type="gramStart"/>
            <w:r>
              <w:t>s.c</w:t>
            </w:r>
            <w:proofErr w:type="spellEnd"/>
            <w:r>
              <w:t>.</w:t>
            </w:r>
            <w:proofErr w:type="gramEnd"/>
            <w:r>
              <w:t xml:space="preserve">  abatacept </w:t>
            </w:r>
            <w:r w:rsidRPr="00AA163E">
              <w:t xml:space="preserve"> jeden týden před a jeden týden po první dávce vakcíny COVID-19; žádné přerušení kolem druhé dávky vakcíny</w:t>
            </w:r>
            <w:r w:rsidR="007D4025">
              <w:t xml:space="preserve"> není nutné</w:t>
            </w:r>
          </w:p>
        </w:tc>
      </w:tr>
      <w:tr w:rsidR="00AA163E" w14:paraId="451ECBB7" w14:textId="77777777" w:rsidTr="00D01C5B">
        <w:tc>
          <w:tcPr>
            <w:tcW w:w="4531" w:type="dxa"/>
          </w:tcPr>
          <w:p w14:paraId="2BC603B9" w14:textId="77777777" w:rsidR="00AA163E" w:rsidRDefault="00AA163E" w:rsidP="00D01C5B">
            <w:r>
              <w:t xml:space="preserve">Abatacept </w:t>
            </w:r>
            <w:proofErr w:type="spellStart"/>
            <w:proofErr w:type="gramStart"/>
            <w:r>
              <w:t>i.v</w:t>
            </w:r>
            <w:proofErr w:type="spellEnd"/>
            <w:r>
              <w:t>.</w:t>
            </w:r>
            <w:proofErr w:type="gramEnd"/>
          </w:p>
        </w:tc>
        <w:tc>
          <w:tcPr>
            <w:tcW w:w="4531" w:type="dxa"/>
          </w:tcPr>
          <w:p w14:paraId="66898777" w14:textId="71624EF1" w:rsidR="00AA163E" w:rsidRDefault="00AA163E" w:rsidP="00D01C5B">
            <w:r w:rsidRPr="00AA163E">
              <w:t>Načasujte podání vakcíny tak, aby k první vakcinaci došlo čtyři t</w:t>
            </w:r>
            <w:r>
              <w:t>ýdny po infuzi abataceptu (tj. c</w:t>
            </w:r>
            <w:r w:rsidRPr="00AA163E">
              <w:t xml:space="preserve">elý dávkovací interval), a odložte následující infuzi abataceptu o jeden týden (tj. </w:t>
            </w:r>
            <w:r>
              <w:t>c</w:t>
            </w:r>
            <w:r w:rsidRPr="00AA163E">
              <w:t>elkem 5týdenní mezera); žádná úprava léku pro druhou dávku vakcíny</w:t>
            </w:r>
            <w:r w:rsidR="007D4025">
              <w:t xml:space="preserve"> není nutná</w:t>
            </w:r>
          </w:p>
        </w:tc>
      </w:tr>
      <w:tr w:rsidR="00AA163E" w14:paraId="65D1EAA6" w14:textId="77777777" w:rsidTr="00D01C5B">
        <w:tc>
          <w:tcPr>
            <w:tcW w:w="4531" w:type="dxa"/>
          </w:tcPr>
          <w:p w14:paraId="497A07CB" w14:textId="77777777" w:rsidR="00AA163E" w:rsidRDefault="00AA163E" w:rsidP="00D01C5B">
            <w:r w:rsidRPr="00AA163E">
              <w:t>Cyklofos</w:t>
            </w:r>
            <w:r>
              <w:t xml:space="preserve">famid </w:t>
            </w:r>
            <w:proofErr w:type="spellStart"/>
            <w:proofErr w:type="gramStart"/>
            <w:r>
              <w:t>i.v</w:t>
            </w:r>
            <w:proofErr w:type="spellEnd"/>
            <w:r>
              <w:t>.</w:t>
            </w:r>
            <w:proofErr w:type="gramEnd"/>
          </w:p>
        </w:tc>
        <w:tc>
          <w:tcPr>
            <w:tcW w:w="4531" w:type="dxa"/>
          </w:tcPr>
          <w:p w14:paraId="6989C831" w14:textId="77777777" w:rsidR="00AA163E" w:rsidRDefault="00AA163E" w:rsidP="00D01C5B">
            <w:r>
              <w:t>Načasujte podání CFA</w:t>
            </w:r>
            <w:r w:rsidRPr="00AA163E">
              <w:t xml:space="preserve"> tak, aby k němu došlo přibližně 1 týden po každé dávce vakcíny, pokud je to možné</w:t>
            </w:r>
          </w:p>
        </w:tc>
      </w:tr>
      <w:tr w:rsidR="00AA163E" w14:paraId="4425B9D5" w14:textId="77777777" w:rsidTr="00D01C5B">
        <w:tc>
          <w:tcPr>
            <w:tcW w:w="4531" w:type="dxa"/>
          </w:tcPr>
          <w:p w14:paraId="4123BCE5" w14:textId="77777777" w:rsidR="00AA163E" w:rsidRDefault="00AA163E" w:rsidP="00D01C5B">
            <w:bookmarkStart w:id="0" w:name="_GoBack"/>
            <w:proofErr w:type="spellStart"/>
            <w:r>
              <w:t>Rituximab</w:t>
            </w:r>
            <w:proofErr w:type="spellEnd"/>
          </w:p>
        </w:tc>
        <w:tc>
          <w:tcPr>
            <w:tcW w:w="4531" w:type="dxa"/>
          </w:tcPr>
          <w:p w14:paraId="48C1A836" w14:textId="77777777" w:rsidR="00AA163E" w:rsidRDefault="00AA163E" w:rsidP="00D01C5B">
            <w:r w:rsidRPr="00AA163E">
              <w:t xml:space="preserve">Za předpokladu, že riziko COVID-19 u pacienta je nízké nebo je možné ho zmírnit preventivními zdravotními opatřeními (např. </w:t>
            </w:r>
            <w:proofErr w:type="spellStart"/>
            <w:r>
              <w:t>sebe</w:t>
            </w:r>
            <w:r w:rsidRPr="00AA163E">
              <w:t>izolací</w:t>
            </w:r>
            <w:proofErr w:type="spellEnd"/>
            <w:r w:rsidRPr="00AA163E">
              <w:t xml:space="preserve">), naplánujte očkování tak, aby bylo očkování zahájeno přibližně 4 týdny před dalším plánovaným cyklem </w:t>
            </w:r>
            <w:proofErr w:type="spellStart"/>
            <w:r w:rsidRPr="00AA163E">
              <w:t>rituximabu</w:t>
            </w:r>
            <w:proofErr w:type="spellEnd"/>
            <w:r w:rsidRPr="00AA163E">
              <w:t>; po očkování odložte RTX o 2-4 týdny po 2. dávce vakcíny, pokud to aktivita onemocnění dovolí</w:t>
            </w:r>
            <w:r w:rsidR="0089598C">
              <w:t>.</w:t>
            </w:r>
          </w:p>
          <w:p w14:paraId="131267D3" w14:textId="2836A0EB" w:rsidR="0089598C" w:rsidRDefault="0089598C" w:rsidP="00D01C5B">
            <w:r>
              <w:t xml:space="preserve">To znamená, pokud je riziko nízké, tak očkování přichází v úvahu nejdříve za 5 měsíců; pokud je vysoké, tak je lepší očkovat co nejdříve i v případě kratšího intervalu od podání </w:t>
            </w:r>
            <w:proofErr w:type="spellStart"/>
            <w:r>
              <w:t>rituximabu</w:t>
            </w:r>
            <w:proofErr w:type="spellEnd"/>
            <w:r>
              <w:t>.</w:t>
            </w:r>
          </w:p>
        </w:tc>
      </w:tr>
      <w:bookmarkEnd w:id="0"/>
    </w:tbl>
    <w:p w14:paraId="62264EE6" w14:textId="28168D33" w:rsidR="00AA163E" w:rsidRDefault="00AA163E"/>
    <w:p w14:paraId="0433AB9B" w14:textId="00270BA5" w:rsidR="00C924B3" w:rsidRDefault="00C924B3">
      <w:r>
        <w:lastRenderedPageBreak/>
        <w:t xml:space="preserve">Návody k vynechání terapie v souvislosti s očkováním vycházejí z předpokladu dobře kontrolovaného onemocnění, které dovoluje krátkodobé přerušení terapie. V případě, že tomu tak není, je nutný individuální přístup, který se může lišit případ od případu. </w:t>
      </w:r>
    </w:p>
    <w:p w14:paraId="74F67688" w14:textId="5DBD9B3B" w:rsidR="00C924B3" w:rsidRDefault="00C924B3">
      <w:r>
        <w:t xml:space="preserve">Plný text návodů ACR je k dispozici na: </w:t>
      </w:r>
      <w:r w:rsidRPr="00C924B3">
        <w:t>https://www.rheumatology.org/Portals/0/Files/COVID-19-Vaccine-Clinical-Guidance-Rheumatic-Diseases-Summary.pdf</w:t>
      </w:r>
    </w:p>
    <w:sectPr w:rsidR="00C9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91"/>
    <w:rsid w:val="000103B4"/>
    <w:rsid w:val="000A5F01"/>
    <w:rsid w:val="000B59FE"/>
    <w:rsid w:val="000D4372"/>
    <w:rsid w:val="000D5291"/>
    <w:rsid w:val="00542E8C"/>
    <w:rsid w:val="006D57CC"/>
    <w:rsid w:val="007D4025"/>
    <w:rsid w:val="0089598C"/>
    <w:rsid w:val="00AA163E"/>
    <w:rsid w:val="00C924B3"/>
    <w:rsid w:val="00D2216B"/>
    <w:rsid w:val="00D265B7"/>
    <w:rsid w:val="00F5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DC08"/>
  <w15:chartTrackingRefBased/>
  <w15:docId w15:val="{E31249B5-E702-4A7A-ACB4-073F1295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D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6394F7C912E468C9D23D9602C2CDB" ma:contentTypeVersion="4" ma:contentTypeDescription="Create a new document." ma:contentTypeScope="" ma:versionID="6895c4db47e415cca5fd33703a8b9336">
  <xsd:schema xmlns:xsd="http://www.w3.org/2001/XMLSchema" xmlns:xs="http://www.w3.org/2001/XMLSchema" xmlns:p="http://schemas.microsoft.com/office/2006/metadata/properties" xmlns:ns3="b6e52c64-a1b8-4d6b-b592-5ebb37f50b85" targetNamespace="http://schemas.microsoft.com/office/2006/metadata/properties" ma:root="true" ma:fieldsID="b99c739a2a78a06764502fc5a02649b9" ns3:_="">
    <xsd:import namespace="b6e52c64-a1b8-4d6b-b592-5ebb37f50b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52c64-a1b8-4d6b-b592-5ebb37f50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919BA-462D-4960-B298-757B730204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792FC-1F9A-4D1B-ACCD-B251BD99FA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276673-FE7E-4836-BA9D-5FFF6DB4F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52c64-a1b8-4d6b-b592-5ebb37f50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Závada Jakub</dc:creator>
  <cp:keywords/>
  <dc:description/>
  <cp:lastModifiedBy>Vencovský Jiří</cp:lastModifiedBy>
  <cp:revision>3</cp:revision>
  <dcterms:created xsi:type="dcterms:W3CDTF">2021-02-27T20:46:00Z</dcterms:created>
  <dcterms:modified xsi:type="dcterms:W3CDTF">2021-02-27T20:49:00Z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0x0101003FF6394F7C912E468C9D23D9602C2CDB</vt:lpwstr>
  </property>
</Properties>
</file>